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11FBF759" w14:textId="7B6BC327" w:rsidR="00F566A7" w:rsidRPr="00F566A7" w:rsidRDefault="001166C1" w:rsidP="00F566A7">
      <w:pPr>
        <w:pStyle w:val="Footer"/>
        <w:tabs>
          <w:tab w:val="left" w:pos="720"/>
        </w:tabs>
        <w:rPr>
          <w:rFonts w:cs="Arial"/>
          <w:b/>
          <w:color w:val="F26522" w:themeColor="accent1"/>
          <w:sz w:val="28"/>
        </w:rPr>
      </w:pPr>
      <w:r>
        <w:rPr>
          <w:rFonts w:cs="Arial"/>
          <w:b/>
          <w:color w:val="F26522" w:themeColor="accent1"/>
          <w:sz w:val="28"/>
        </w:rPr>
        <w:t>CM</w:t>
      </w:r>
      <w:r w:rsidR="00B70B46">
        <w:rPr>
          <w:rFonts w:cs="Arial"/>
          <w:b/>
          <w:color w:val="F26522" w:themeColor="accent1"/>
          <w:sz w:val="28"/>
        </w:rPr>
        <w:t>089</w:t>
      </w:r>
      <w:r>
        <w:rPr>
          <w:rFonts w:cs="Arial"/>
          <w:b/>
          <w:color w:val="F26522" w:themeColor="accent1"/>
          <w:sz w:val="28"/>
        </w:rPr>
        <w:t xml:space="preserve">: </w:t>
      </w:r>
      <w:sdt>
        <w:sdtPr>
          <w:rPr>
            <w:rFonts w:cs="Arial"/>
            <w:b/>
            <w:color w:val="F26522" w:themeColor="accent1"/>
            <w:sz w:val="28"/>
          </w:rPr>
          <w:id w:val="-1635167212"/>
          <w:placeholder>
            <w:docPart w:val="61D8AFA3A6A54832A7374C583FB5937F"/>
          </w:placeholder>
        </w:sdtPr>
        <w:sdtEndPr/>
        <w:sdtContent>
          <w:r w:rsidR="00B70B46" w:rsidRPr="00B70B46">
            <w:rPr>
              <w:rFonts w:cs="Arial"/>
              <w:b/>
              <w:color w:val="F26522" w:themeColor="accent1"/>
              <w:sz w:val="28"/>
            </w:rPr>
            <w:t>Implementation of the Electricity System Restoration Standard</w:t>
          </w:r>
        </w:sdtContent>
      </w:sdt>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439C667F" w14:textId="0F3F8A19"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E23A76" w:rsidRPr="00E23A76">
        <w:rPr>
          <w:bCs w:val="0"/>
          <w:noProof w:val="0"/>
          <w:color w:val="auto"/>
        </w:rPr>
        <w:t>CM089 - Implementation of the Electricity System Restoration Standard</w:t>
      </w:r>
      <w:r w:rsidR="00E23A76">
        <w:rPr>
          <w:bCs w:val="0"/>
          <w:noProof w:val="0"/>
          <w:color w:val="auto"/>
        </w:rPr>
        <w:t xml:space="preserve"> </w:t>
      </w:r>
      <w:r w:rsidR="00E44F00">
        <w:rPr>
          <w:b w:val="0"/>
          <w:bCs w:val="0"/>
          <w:noProof w:val="0"/>
          <w:color w:val="auto"/>
        </w:rPr>
        <w:t xml:space="preserve">raised by </w:t>
      </w:r>
      <w:r w:rsidR="00E23A76">
        <w:rPr>
          <w:bCs w:val="0"/>
          <w:noProof w:val="0"/>
          <w:color w:val="auto"/>
        </w:rPr>
        <w:t>the ESO</w:t>
      </w:r>
      <w:r w:rsidR="00E44F00">
        <w:rPr>
          <w:b w:val="0"/>
          <w:bCs w:val="0"/>
          <w:noProof w:val="0"/>
          <w:color w:val="auto"/>
        </w:rPr>
        <w:t xml:space="preserve"> at the Modifications Panel meeting on </w:t>
      </w:r>
      <w:r w:rsidR="00255D4D">
        <w:rPr>
          <w:bCs w:val="0"/>
          <w:noProof w:val="0"/>
          <w:color w:val="auto"/>
        </w:rPr>
        <w:t>22 February 2023</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Efficient discharge of the obligations imposed upon transmission licensees by transmission licences and the Act</w:t>
      </w:r>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Protection of the security and quality of supply and safe operation of the national electricity transmission system insofar as it relates to interactions between transmission licensees</w:t>
      </w:r>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521"/>
        <w:gridCol w:w="4972"/>
      </w:tblGrid>
      <w:tr w:rsidR="00ED5C7C" w14:paraId="64239E80" w14:textId="77777777" w:rsidTr="00FB1180">
        <w:tc>
          <w:tcPr>
            <w:tcW w:w="4521"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972" w:type="dxa"/>
            <w:shd w:val="clear" w:color="auto" w:fill="F26522" w:themeFill="accent1"/>
          </w:tcPr>
          <w:p w14:paraId="78C2CC46" w14:textId="1E7241A9" w:rsidR="00ED5C7C" w:rsidRDefault="00194B25" w:rsidP="00073540">
            <w:pPr>
              <w:pStyle w:val="BodyText"/>
              <w:jc w:val="both"/>
              <w:rPr>
                <w:b/>
                <w:szCs w:val="22"/>
              </w:rPr>
            </w:pPr>
            <w:r w:rsidRPr="00194B25">
              <w:rPr>
                <w:b/>
                <w:color w:val="FFFFFF" w:themeColor="background1"/>
                <w:sz w:val="24"/>
                <w:szCs w:val="22"/>
              </w:rPr>
              <w:t xml:space="preserve">Location in Workgroup Report </w:t>
            </w:r>
          </w:p>
        </w:tc>
      </w:tr>
      <w:tr w:rsidR="00ED5C7C" w14:paraId="782562D1" w14:textId="77777777" w:rsidTr="00FB1180">
        <w:tc>
          <w:tcPr>
            <w:tcW w:w="4521" w:type="dxa"/>
          </w:tcPr>
          <w:p w14:paraId="1E3C4F2A" w14:textId="1DCE994B" w:rsidR="00ED5C7C" w:rsidRPr="002D0F39" w:rsidRDefault="002D0F39" w:rsidP="00225165">
            <w:pPr>
              <w:pStyle w:val="BodyText"/>
              <w:numPr>
                <w:ilvl w:val="1"/>
                <w:numId w:val="5"/>
              </w:numPr>
              <w:ind w:left="437"/>
              <w:jc w:val="both"/>
              <w:rPr>
                <w:sz w:val="24"/>
              </w:rPr>
            </w:pPr>
            <w:r w:rsidRPr="002D0F39">
              <w:rPr>
                <w:sz w:val="24"/>
              </w:rPr>
              <w:t>I</w:t>
            </w:r>
            <w:r w:rsidR="00ED5C7C" w:rsidRPr="002D0F39">
              <w:rPr>
                <w:sz w:val="24"/>
              </w:rPr>
              <w:t>mplementation</w:t>
            </w:r>
          </w:p>
        </w:tc>
        <w:tc>
          <w:tcPr>
            <w:tcW w:w="4972" w:type="dxa"/>
          </w:tcPr>
          <w:p w14:paraId="0AB5B675" w14:textId="56EA6C04" w:rsidR="00ED5C7C" w:rsidRPr="0084091C" w:rsidRDefault="007F0B17" w:rsidP="0084091C">
            <w:pPr>
              <w:pStyle w:val="BodyText"/>
              <w:rPr>
                <w:bCs/>
                <w:szCs w:val="22"/>
              </w:rPr>
            </w:pPr>
            <w:r>
              <w:rPr>
                <w:b/>
                <w:szCs w:val="22"/>
              </w:rPr>
              <w:t>‘</w:t>
            </w:r>
            <w:r w:rsidRPr="007F0B17">
              <w:rPr>
                <w:b/>
                <w:szCs w:val="22"/>
              </w:rPr>
              <w:t>When will this change take place?</w:t>
            </w:r>
            <w:r>
              <w:rPr>
                <w:b/>
                <w:szCs w:val="22"/>
              </w:rPr>
              <w:t>’</w:t>
            </w:r>
            <w:r w:rsidR="00FB1180">
              <w:rPr>
                <w:b/>
                <w:szCs w:val="22"/>
              </w:rPr>
              <w:t xml:space="preserve"> </w:t>
            </w:r>
            <w:r w:rsidR="00FB1180">
              <w:rPr>
                <w:bCs/>
                <w:szCs w:val="22"/>
              </w:rPr>
              <w:t>and</w:t>
            </w:r>
            <w:r w:rsidR="00FB1180" w:rsidRPr="006E33EA">
              <w:rPr>
                <w:rFonts w:asciiTheme="minorHAnsi" w:eastAsiaTheme="minorHAnsi" w:hAnsiTheme="minorHAnsi" w:cs="Arial"/>
                <w:i/>
                <w:iCs/>
                <w:szCs w:val="20"/>
                <w:lang w:eastAsia="en-US"/>
              </w:rPr>
              <w:t xml:space="preserve"> </w:t>
            </w:r>
            <w:r w:rsidR="00FB1180" w:rsidRPr="006E33EA">
              <w:rPr>
                <w:b/>
                <w:szCs w:val="20"/>
              </w:rPr>
              <w:t>‘Workgroup Considerations’</w:t>
            </w:r>
            <w:r w:rsidR="0084091C">
              <w:rPr>
                <w:b/>
                <w:szCs w:val="20"/>
              </w:rPr>
              <w:t xml:space="preserve"> </w:t>
            </w:r>
            <w:r w:rsidR="0084091C">
              <w:rPr>
                <w:bCs/>
                <w:szCs w:val="20"/>
              </w:rPr>
              <w:t xml:space="preserve">- </w:t>
            </w:r>
            <w:r w:rsidR="0084091C" w:rsidRPr="006E33EA">
              <w:rPr>
                <w:rFonts w:asciiTheme="minorHAnsi" w:eastAsiaTheme="minorHAnsi" w:hAnsiTheme="minorHAnsi" w:cs="Arial"/>
                <w:szCs w:val="20"/>
                <w:lang w:eastAsia="en-US"/>
              </w:rPr>
              <w:t xml:space="preserve">Section K: Technical, Design and Operational Criteria and Performance </w:t>
            </w:r>
            <w:r w:rsidR="0084091C" w:rsidRPr="006E33EA">
              <w:rPr>
                <w:rFonts w:asciiTheme="minorHAnsi" w:eastAsiaTheme="minorHAnsi" w:hAnsiTheme="minorHAnsi" w:cs="Arial"/>
                <w:szCs w:val="20"/>
                <w:lang w:eastAsia="en-US"/>
              </w:rPr>
              <w:lastRenderedPageBreak/>
              <w:t>Requirements for Offshore Transmission Systems Legal Text Changes</w:t>
            </w:r>
          </w:p>
        </w:tc>
      </w:tr>
      <w:tr w:rsidR="00ED5C7C" w14:paraId="50420D6E" w14:textId="77777777" w:rsidTr="00FB1180">
        <w:tc>
          <w:tcPr>
            <w:tcW w:w="4521" w:type="dxa"/>
          </w:tcPr>
          <w:p w14:paraId="4D4CF498" w14:textId="2D927465" w:rsidR="00ED5C7C" w:rsidRPr="00225165" w:rsidRDefault="00ED5C7C" w:rsidP="00225165">
            <w:pPr>
              <w:pStyle w:val="BodyText"/>
              <w:numPr>
                <w:ilvl w:val="1"/>
                <w:numId w:val="5"/>
              </w:numPr>
              <w:spacing w:before="0" w:after="0" w:line="240" w:lineRule="auto"/>
              <w:ind w:left="437"/>
              <w:rPr>
                <w:sz w:val="24"/>
                <w:lang w:val="en-GB"/>
              </w:rPr>
            </w:pPr>
            <w:r w:rsidRPr="002D0F39">
              <w:rPr>
                <w:sz w:val="24"/>
                <w:lang w:val="en-GB"/>
              </w:rPr>
              <w:lastRenderedPageBreak/>
              <w:t xml:space="preserve">Review and support the legal text drafting; </w:t>
            </w:r>
          </w:p>
        </w:tc>
        <w:tc>
          <w:tcPr>
            <w:tcW w:w="4972" w:type="dxa"/>
          </w:tcPr>
          <w:p w14:paraId="1C50510C" w14:textId="5518BBFD" w:rsidR="00ED5C7C" w:rsidRPr="00FB1180" w:rsidRDefault="00C90D8F" w:rsidP="0084091C">
            <w:pPr>
              <w:pStyle w:val="BodyText"/>
              <w:rPr>
                <w:b/>
                <w:szCs w:val="22"/>
              </w:rPr>
            </w:pPr>
            <w:r w:rsidRPr="00CA51B0">
              <w:rPr>
                <w:b/>
                <w:szCs w:val="22"/>
              </w:rPr>
              <w:t>‘Workgroup Considerations’</w:t>
            </w:r>
            <w:r>
              <w:rPr>
                <w:b/>
                <w:szCs w:val="22"/>
              </w:rPr>
              <w:t xml:space="preserve"> </w:t>
            </w:r>
            <w:r w:rsidRPr="00C636C7">
              <w:rPr>
                <w:bCs/>
                <w:szCs w:val="22"/>
              </w:rPr>
              <w:t>and</w:t>
            </w:r>
            <w:r>
              <w:rPr>
                <w:b/>
                <w:szCs w:val="22"/>
              </w:rPr>
              <w:t xml:space="preserve"> </w:t>
            </w:r>
            <w:r w:rsidR="006B332F" w:rsidRPr="00FB1180">
              <w:rPr>
                <w:b/>
                <w:szCs w:val="22"/>
              </w:rPr>
              <w:t>‘</w:t>
            </w:r>
            <w:r w:rsidR="004C30D2" w:rsidRPr="00FB1180">
              <w:rPr>
                <w:b/>
                <w:szCs w:val="22"/>
              </w:rPr>
              <w:t>Annex 3 – Legal Text</w:t>
            </w:r>
            <w:r w:rsidR="006B332F" w:rsidRPr="00FB1180">
              <w:rPr>
                <w:b/>
                <w:szCs w:val="22"/>
              </w:rPr>
              <w:t>’</w:t>
            </w:r>
          </w:p>
        </w:tc>
      </w:tr>
      <w:tr w:rsidR="00ED5C7C" w14:paraId="3F8C53FC" w14:textId="77777777" w:rsidTr="00FB1180">
        <w:tc>
          <w:tcPr>
            <w:tcW w:w="4521" w:type="dxa"/>
          </w:tcPr>
          <w:p w14:paraId="110A0729" w14:textId="6E31F8B2" w:rsidR="00ED5C7C" w:rsidRPr="00CC6131" w:rsidRDefault="00ED5C7C" w:rsidP="00225165">
            <w:pPr>
              <w:pStyle w:val="BodyText"/>
              <w:numPr>
                <w:ilvl w:val="1"/>
                <w:numId w:val="5"/>
              </w:numPr>
              <w:spacing w:before="0" w:after="0" w:line="240" w:lineRule="auto"/>
              <w:ind w:left="437"/>
              <w:rPr>
                <w:sz w:val="24"/>
                <w:lang w:val="en-GB"/>
              </w:rPr>
            </w:pPr>
            <w:r w:rsidRPr="002D0F39">
              <w:rPr>
                <w:sz w:val="24"/>
                <w:lang w:val="en-GB"/>
              </w:rPr>
              <w:t xml:space="preserve">Ensure the appropriate Industry experts or stakeholders are engaged in the Workgroup to ensure that all potentially affected stakeholders </w:t>
            </w:r>
            <w:proofErr w:type="gramStart"/>
            <w:r w:rsidRPr="002D0F39">
              <w:rPr>
                <w:sz w:val="24"/>
                <w:lang w:val="en-GB"/>
              </w:rPr>
              <w:t>have the opportunity to</w:t>
            </w:r>
            <w:proofErr w:type="gramEnd"/>
            <w:r w:rsidRPr="002D0F39">
              <w:rPr>
                <w:sz w:val="24"/>
                <w:lang w:val="en-GB"/>
              </w:rPr>
              <w:t xml:space="preserve"> be represented in the Workgroup</w:t>
            </w:r>
          </w:p>
        </w:tc>
        <w:tc>
          <w:tcPr>
            <w:tcW w:w="4972" w:type="dxa"/>
          </w:tcPr>
          <w:p w14:paraId="48C16D56" w14:textId="27A0E445" w:rsidR="00ED5C7C" w:rsidRPr="0084091C" w:rsidRDefault="007C1046" w:rsidP="0084091C">
            <w:pPr>
              <w:pStyle w:val="BodyText"/>
              <w:rPr>
                <w:bCs/>
                <w:szCs w:val="22"/>
              </w:rPr>
            </w:pPr>
            <w:r>
              <w:rPr>
                <w:b/>
                <w:szCs w:val="22"/>
              </w:rPr>
              <w:t>‘Annex 2 – Terms of Reference’</w:t>
            </w:r>
            <w:r w:rsidR="0084091C">
              <w:rPr>
                <w:b/>
                <w:szCs w:val="22"/>
              </w:rPr>
              <w:t xml:space="preserve"> - </w:t>
            </w:r>
            <w:r w:rsidR="0084091C">
              <w:rPr>
                <w:bCs/>
                <w:szCs w:val="22"/>
              </w:rPr>
              <w:t>Membership</w:t>
            </w:r>
          </w:p>
        </w:tc>
      </w:tr>
      <w:tr w:rsidR="00ED5C7C" w14:paraId="4A218C55" w14:textId="77777777" w:rsidTr="00FB1180">
        <w:tc>
          <w:tcPr>
            <w:tcW w:w="4521" w:type="dxa"/>
          </w:tcPr>
          <w:p w14:paraId="057EB8ED" w14:textId="6A415BFA" w:rsidR="00ED5C7C" w:rsidRPr="00CC6131" w:rsidRDefault="00ED5C7C" w:rsidP="00225165">
            <w:pPr>
              <w:pStyle w:val="BodyText"/>
              <w:numPr>
                <w:ilvl w:val="1"/>
                <w:numId w:val="5"/>
              </w:numPr>
              <w:spacing w:before="0" w:after="0" w:line="240" w:lineRule="auto"/>
              <w:ind w:left="437"/>
              <w:rPr>
                <w:sz w:val="24"/>
                <w:lang w:val="en-GB"/>
              </w:rPr>
            </w:pPr>
            <w:r w:rsidRPr="002D0F39">
              <w:rPr>
                <w:sz w:val="24"/>
                <w:lang w:val="en-GB"/>
              </w:rPr>
              <w:t xml:space="preserve">The cross Code impacts this </w:t>
            </w:r>
            <w:r w:rsidR="005D157B">
              <w:rPr>
                <w:sz w:val="24"/>
                <w:lang w:val="en-GB"/>
              </w:rPr>
              <w:t>m</w:t>
            </w:r>
            <w:r w:rsidRPr="002D0F39">
              <w:rPr>
                <w:sz w:val="24"/>
                <w:lang w:val="en-GB"/>
              </w:rPr>
              <w:t xml:space="preserve">odification has, </w:t>
            </w:r>
            <w:proofErr w:type="gramStart"/>
            <w:r w:rsidRPr="002D0F39">
              <w:rPr>
                <w:sz w:val="24"/>
                <w:lang w:val="en-GB"/>
              </w:rPr>
              <w:t>in particular the</w:t>
            </w:r>
            <w:proofErr w:type="gramEnd"/>
            <w:r w:rsidRPr="002D0F39">
              <w:rPr>
                <w:sz w:val="24"/>
                <w:lang w:val="en-GB"/>
              </w:rPr>
              <w:t xml:space="preserve"> CUSC </w:t>
            </w:r>
          </w:p>
        </w:tc>
        <w:tc>
          <w:tcPr>
            <w:tcW w:w="4972" w:type="dxa"/>
          </w:tcPr>
          <w:p w14:paraId="69890F6C" w14:textId="3ED8B9CA" w:rsidR="00ED5C7C" w:rsidRDefault="00CC6DF3" w:rsidP="0084091C">
            <w:pPr>
              <w:pStyle w:val="BodyText"/>
              <w:rPr>
                <w:b/>
                <w:szCs w:val="22"/>
              </w:rPr>
            </w:pPr>
            <w:r w:rsidRPr="006E33EA">
              <w:rPr>
                <w:b/>
                <w:szCs w:val="20"/>
              </w:rPr>
              <w:t>‘</w:t>
            </w:r>
            <w:r>
              <w:rPr>
                <w:b/>
                <w:szCs w:val="20"/>
              </w:rPr>
              <w:t>Interactions</w:t>
            </w:r>
            <w:r w:rsidRPr="006E33EA">
              <w:rPr>
                <w:b/>
                <w:szCs w:val="20"/>
              </w:rPr>
              <w:t>’</w:t>
            </w:r>
          </w:p>
        </w:tc>
      </w:tr>
      <w:tr w:rsidR="004E2ECD" w14:paraId="52BB2CEE" w14:textId="77777777" w:rsidTr="00FB1180">
        <w:tc>
          <w:tcPr>
            <w:tcW w:w="4521" w:type="dxa"/>
          </w:tcPr>
          <w:p w14:paraId="5441A2B2" w14:textId="39008303" w:rsidR="004E2ECD" w:rsidRPr="002D0F39" w:rsidRDefault="00BA63AC" w:rsidP="00225165">
            <w:pPr>
              <w:pStyle w:val="BodyText"/>
              <w:numPr>
                <w:ilvl w:val="1"/>
                <w:numId w:val="5"/>
              </w:numPr>
              <w:spacing w:before="0" w:after="0" w:line="240" w:lineRule="auto"/>
              <w:ind w:left="437"/>
              <w:rPr>
                <w:sz w:val="24"/>
              </w:rPr>
            </w:pPr>
            <w:r w:rsidRPr="00BA63AC">
              <w:rPr>
                <w:sz w:val="24"/>
              </w:rPr>
              <w:t>Review STC to confirm whether the contents are in line with GC0156 modification</w:t>
            </w:r>
            <w:r>
              <w:rPr>
                <w:sz w:val="24"/>
              </w:rPr>
              <w:t>s</w:t>
            </w:r>
            <w:r w:rsidRPr="00BA63AC">
              <w:rPr>
                <w:sz w:val="24"/>
              </w:rPr>
              <w:t xml:space="preserve"> to the Grid Code.</w:t>
            </w:r>
          </w:p>
        </w:tc>
        <w:tc>
          <w:tcPr>
            <w:tcW w:w="4972" w:type="dxa"/>
          </w:tcPr>
          <w:p w14:paraId="750B6F56" w14:textId="44707690" w:rsidR="004E2ECD" w:rsidRDefault="00E55381" w:rsidP="0084091C">
            <w:pPr>
              <w:pStyle w:val="BodyText"/>
              <w:rPr>
                <w:b/>
                <w:szCs w:val="22"/>
              </w:rPr>
            </w:pPr>
            <w:r w:rsidRPr="00CA51B0">
              <w:rPr>
                <w:b/>
                <w:szCs w:val="22"/>
              </w:rPr>
              <w:t>‘Workgroup Considerations’</w:t>
            </w:r>
            <w:r>
              <w:rPr>
                <w:b/>
                <w:szCs w:val="22"/>
              </w:rPr>
              <w:t xml:space="preserve"> </w:t>
            </w:r>
            <w:r w:rsidRPr="00C636C7">
              <w:rPr>
                <w:bCs/>
                <w:szCs w:val="22"/>
              </w:rPr>
              <w:t>and</w:t>
            </w:r>
            <w:r>
              <w:rPr>
                <w:b/>
                <w:szCs w:val="22"/>
              </w:rPr>
              <w:t xml:space="preserve"> </w:t>
            </w:r>
            <w:r>
              <w:rPr>
                <w:b/>
                <w:szCs w:val="22"/>
              </w:rPr>
              <w:t xml:space="preserve">‘Annex </w:t>
            </w:r>
            <w:r w:rsidR="00371C21">
              <w:rPr>
                <w:b/>
                <w:szCs w:val="22"/>
              </w:rPr>
              <w:t>4</w:t>
            </w:r>
            <w:r>
              <w:rPr>
                <w:b/>
                <w:szCs w:val="22"/>
              </w:rPr>
              <w:t xml:space="preserve"> – Mapping Tables’</w:t>
            </w:r>
          </w:p>
        </w:tc>
      </w:tr>
      <w:tr w:rsidR="00D12CBF" w14:paraId="2A60B16E" w14:textId="77777777" w:rsidTr="00FB1180">
        <w:tc>
          <w:tcPr>
            <w:tcW w:w="4521" w:type="dxa"/>
          </w:tcPr>
          <w:p w14:paraId="755CE10A" w14:textId="1E00D23E" w:rsidR="00D12CBF" w:rsidRPr="00A0515E" w:rsidRDefault="00F16774" w:rsidP="00225165">
            <w:pPr>
              <w:pStyle w:val="ListParagraph"/>
              <w:numPr>
                <w:ilvl w:val="1"/>
                <w:numId w:val="5"/>
              </w:numPr>
              <w:ind w:left="437"/>
              <w:rPr>
                <w:sz w:val="22"/>
                <w:szCs w:val="22"/>
              </w:rPr>
            </w:pPr>
            <w:r w:rsidRPr="00A0515E">
              <w:rPr>
                <w:sz w:val="24"/>
                <w:lang w:val="en-GB"/>
              </w:rPr>
              <w:t>Confirm if STC requirements</w:t>
            </w:r>
            <w:r>
              <w:rPr>
                <w:sz w:val="22"/>
                <w:szCs w:val="22"/>
              </w:rPr>
              <w:t xml:space="preserve"> </w:t>
            </w:r>
            <w:r w:rsidRPr="00A0515E">
              <w:rPr>
                <w:sz w:val="24"/>
                <w:lang w:val="en-GB"/>
              </w:rPr>
              <w:t xml:space="preserve">for OFTOs under System Restoration are </w:t>
            </w:r>
            <w:proofErr w:type="gramStart"/>
            <w:r w:rsidRPr="00A0515E">
              <w:rPr>
                <w:sz w:val="24"/>
                <w:lang w:val="en-GB"/>
              </w:rPr>
              <w:t>similar to</w:t>
            </w:r>
            <w:proofErr w:type="gramEnd"/>
            <w:r w:rsidRPr="00A0515E">
              <w:rPr>
                <w:sz w:val="24"/>
                <w:lang w:val="en-GB"/>
              </w:rPr>
              <w:t xml:space="preserve"> the requirements for onshore TOs under the STC?  This will ensure that Users of OFTO networks can participate in the restoration process</w:t>
            </w:r>
          </w:p>
        </w:tc>
        <w:tc>
          <w:tcPr>
            <w:tcW w:w="4972" w:type="dxa"/>
          </w:tcPr>
          <w:p w14:paraId="07322922" w14:textId="4A17BEE0" w:rsidR="00D12CBF" w:rsidRPr="005A7116" w:rsidRDefault="00EA4807" w:rsidP="0084091C">
            <w:pPr>
              <w:pStyle w:val="BodyText"/>
              <w:spacing w:line="259" w:lineRule="auto"/>
              <w:rPr>
                <w:bCs/>
                <w:szCs w:val="20"/>
              </w:rPr>
            </w:pPr>
            <w:r w:rsidRPr="006E33EA">
              <w:rPr>
                <w:b/>
                <w:szCs w:val="20"/>
              </w:rPr>
              <w:t>‘Workgroup Considerations’</w:t>
            </w:r>
            <w:r w:rsidR="005A7116">
              <w:rPr>
                <w:b/>
                <w:szCs w:val="20"/>
              </w:rPr>
              <w:t xml:space="preserve"> </w:t>
            </w:r>
            <w:r w:rsidR="005A7116">
              <w:rPr>
                <w:bCs/>
                <w:szCs w:val="20"/>
              </w:rPr>
              <w:t xml:space="preserve">- </w:t>
            </w:r>
            <w:r w:rsidR="005A7116" w:rsidRPr="006E33EA">
              <w:rPr>
                <w:rFonts w:asciiTheme="minorHAnsi" w:eastAsiaTheme="minorHAnsi" w:hAnsiTheme="minorHAnsi" w:cs="Arial"/>
                <w:szCs w:val="20"/>
                <w:lang w:eastAsia="en-US"/>
              </w:rPr>
              <w:t>Section K: Technical, Design and Operational Criteria and Performance Requirements for Offshore Transmission Systems Legal Text Changes</w:t>
            </w:r>
          </w:p>
        </w:tc>
      </w:tr>
      <w:tr w:rsidR="00D12CBF" w14:paraId="62058786" w14:textId="77777777" w:rsidTr="00FB1180">
        <w:tc>
          <w:tcPr>
            <w:tcW w:w="4521" w:type="dxa"/>
          </w:tcPr>
          <w:p w14:paraId="3A8BDC35" w14:textId="77777777" w:rsidR="007F320C" w:rsidRPr="007F320C" w:rsidRDefault="007F320C" w:rsidP="00225165">
            <w:pPr>
              <w:pStyle w:val="BodyText"/>
              <w:numPr>
                <w:ilvl w:val="1"/>
                <w:numId w:val="5"/>
              </w:numPr>
              <w:spacing w:before="0" w:after="0" w:line="240" w:lineRule="auto"/>
              <w:ind w:left="437"/>
              <w:rPr>
                <w:sz w:val="24"/>
              </w:rPr>
            </w:pPr>
            <w:r w:rsidRPr="007F320C">
              <w:rPr>
                <w:sz w:val="24"/>
              </w:rPr>
              <w:t xml:space="preserve">Review and update the STC to ensure that network design </w:t>
            </w:r>
            <w:proofErr w:type="gramStart"/>
            <w:r w:rsidRPr="007F320C">
              <w:rPr>
                <w:sz w:val="24"/>
              </w:rPr>
              <w:t>takes into account</w:t>
            </w:r>
            <w:proofErr w:type="gramEnd"/>
            <w:r w:rsidRPr="007F320C">
              <w:rPr>
                <w:sz w:val="24"/>
              </w:rPr>
              <w:t xml:space="preserve"> but not limited to:</w:t>
            </w:r>
          </w:p>
          <w:p w14:paraId="228BA0C4" w14:textId="77777777" w:rsidR="007F320C" w:rsidRPr="007F320C" w:rsidRDefault="007F320C" w:rsidP="00225165">
            <w:pPr>
              <w:pStyle w:val="BodyText"/>
              <w:numPr>
                <w:ilvl w:val="1"/>
                <w:numId w:val="6"/>
              </w:numPr>
              <w:spacing w:before="0" w:after="0" w:line="240" w:lineRule="auto"/>
              <w:ind w:left="437"/>
              <w:rPr>
                <w:sz w:val="24"/>
              </w:rPr>
            </w:pPr>
            <w:r w:rsidRPr="007F320C">
              <w:rPr>
                <w:sz w:val="24"/>
              </w:rPr>
              <w:t>An electrically weak network</w:t>
            </w:r>
          </w:p>
          <w:p w14:paraId="61A34BEE" w14:textId="77777777" w:rsidR="007F320C" w:rsidRPr="007F320C" w:rsidRDefault="007F320C" w:rsidP="00225165">
            <w:pPr>
              <w:pStyle w:val="BodyText"/>
              <w:numPr>
                <w:ilvl w:val="1"/>
                <w:numId w:val="6"/>
              </w:numPr>
              <w:spacing w:before="0" w:after="0" w:line="240" w:lineRule="auto"/>
              <w:ind w:left="437"/>
              <w:rPr>
                <w:sz w:val="24"/>
              </w:rPr>
            </w:pPr>
            <w:r w:rsidRPr="007F320C">
              <w:rPr>
                <w:sz w:val="24"/>
              </w:rPr>
              <w:t>Reactive gain</w:t>
            </w:r>
          </w:p>
          <w:p w14:paraId="7D54D15C" w14:textId="50A4C34D" w:rsidR="00D12CBF" w:rsidRPr="002D0F39" w:rsidRDefault="007F320C" w:rsidP="00225165">
            <w:pPr>
              <w:pStyle w:val="BodyText"/>
              <w:numPr>
                <w:ilvl w:val="1"/>
                <w:numId w:val="6"/>
              </w:numPr>
              <w:spacing w:before="0" w:after="0" w:line="240" w:lineRule="auto"/>
              <w:ind w:left="437"/>
              <w:rPr>
                <w:sz w:val="24"/>
              </w:rPr>
            </w:pPr>
            <w:r w:rsidRPr="007F320C">
              <w:rPr>
                <w:sz w:val="24"/>
              </w:rPr>
              <w:t>Ability to energise with limited generating capability</w:t>
            </w:r>
          </w:p>
        </w:tc>
        <w:tc>
          <w:tcPr>
            <w:tcW w:w="4972" w:type="dxa"/>
          </w:tcPr>
          <w:p w14:paraId="39F0B2BB" w14:textId="602547E8" w:rsidR="00D12CBF" w:rsidRDefault="00431DF5" w:rsidP="00073540">
            <w:pPr>
              <w:pStyle w:val="BodyText"/>
              <w:jc w:val="both"/>
              <w:rPr>
                <w:b/>
                <w:szCs w:val="22"/>
              </w:rPr>
            </w:pPr>
            <w:r>
              <w:rPr>
                <w:b/>
                <w:szCs w:val="22"/>
              </w:rPr>
              <w:t xml:space="preserve">‘Annex </w:t>
            </w:r>
            <w:r w:rsidR="00371C21">
              <w:rPr>
                <w:b/>
                <w:szCs w:val="22"/>
              </w:rPr>
              <w:t>4</w:t>
            </w:r>
            <w:r>
              <w:rPr>
                <w:b/>
                <w:szCs w:val="22"/>
              </w:rPr>
              <w:t xml:space="preserve"> </w:t>
            </w:r>
            <w:r w:rsidR="00CA51B0">
              <w:rPr>
                <w:b/>
                <w:szCs w:val="22"/>
              </w:rPr>
              <w:t>–</w:t>
            </w:r>
            <w:r>
              <w:rPr>
                <w:b/>
                <w:szCs w:val="22"/>
              </w:rPr>
              <w:t xml:space="preserve"> </w:t>
            </w:r>
            <w:r w:rsidR="00CA51B0">
              <w:rPr>
                <w:b/>
                <w:szCs w:val="22"/>
              </w:rPr>
              <w:t>Mapping Tables’</w:t>
            </w: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32FE3151"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his right under the STC to progress a WG Consultation Alternative Request or a</w:t>
      </w:r>
      <w:r w:rsidR="006A55C8">
        <w:rPr>
          <w:sz w:val="24"/>
        </w:rPr>
        <w:t>n</w:t>
      </w:r>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3D479C42"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report to the Modifications Panel Secretary on </w:t>
      </w:r>
      <w:r w:rsidR="00FC7E9B">
        <w:rPr>
          <w:b/>
          <w:sz w:val="24"/>
        </w:rPr>
        <w:t>20 June 2023</w:t>
      </w:r>
      <w:r w:rsidRPr="00194B25">
        <w:rPr>
          <w:b/>
          <w:sz w:val="24"/>
        </w:rPr>
        <w:t xml:space="preserve"> </w:t>
      </w:r>
      <w:r w:rsidRPr="00194B25">
        <w:rPr>
          <w:sz w:val="24"/>
        </w:rPr>
        <w:t>for circulation to Panel Members.</w:t>
      </w:r>
      <w:r w:rsidR="00C734C2">
        <w:rPr>
          <w:sz w:val="24"/>
        </w:rPr>
        <w:t xml:space="preserve"> </w:t>
      </w:r>
      <w:r w:rsidRPr="00194B25">
        <w:rPr>
          <w:sz w:val="24"/>
        </w:rPr>
        <w:t xml:space="preserve">The final report conclusions will be presented to the STC Modification Panel meeting on </w:t>
      </w:r>
      <w:r w:rsidR="0067047C">
        <w:rPr>
          <w:b/>
          <w:sz w:val="24"/>
        </w:rPr>
        <w:t>28 June 2023</w:t>
      </w:r>
      <w:r w:rsidRPr="00194B25">
        <w:rPr>
          <w:b/>
          <w:sz w:val="24"/>
        </w:rPr>
        <w:t xml:space="preserve">.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71A8AD0D" w14:textId="4707C3CA" w:rsidR="00340100" w:rsidRPr="00D1064C" w:rsidRDefault="00340100" w:rsidP="00D1064C">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tbl>
      <w:tblPr>
        <w:tblW w:w="8967"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57" w:type="dxa"/>
          <w:right w:w="57" w:type="dxa"/>
        </w:tblCellMar>
        <w:tblLook w:val="01E0" w:firstRow="1" w:lastRow="1" w:firstColumn="1" w:lastColumn="1" w:noHBand="0" w:noVBand="0"/>
      </w:tblPr>
      <w:tblGrid>
        <w:gridCol w:w="2912"/>
        <w:gridCol w:w="3171"/>
        <w:gridCol w:w="2884"/>
      </w:tblGrid>
      <w:tr w:rsidR="00340100" w:rsidRPr="00D22839" w14:paraId="08EF9BD3" w14:textId="77777777" w:rsidTr="00D1064C">
        <w:trPr>
          <w:trHeight w:val="257"/>
        </w:trPr>
        <w:tc>
          <w:tcPr>
            <w:tcW w:w="2912" w:type="dxa"/>
            <w:shd w:val="clear" w:color="auto" w:fill="F26522" w:themeFill="accent1"/>
            <w:hideMark/>
          </w:tcPr>
          <w:p w14:paraId="6F03BD76"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Role</w:t>
            </w:r>
          </w:p>
        </w:tc>
        <w:tc>
          <w:tcPr>
            <w:tcW w:w="3171" w:type="dxa"/>
            <w:shd w:val="clear" w:color="auto" w:fill="F26522" w:themeFill="accent1"/>
            <w:hideMark/>
          </w:tcPr>
          <w:p w14:paraId="7D884DE0"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Name</w:t>
            </w:r>
          </w:p>
        </w:tc>
        <w:tc>
          <w:tcPr>
            <w:tcW w:w="2884" w:type="dxa"/>
            <w:shd w:val="clear" w:color="auto" w:fill="F26522" w:themeFill="accent1"/>
            <w:hideMark/>
          </w:tcPr>
          <w:p w14:paraId="71208DDF" w14:textId="77777777" w:rsidR="00340100" w:rsidRPr="00D22839" w:rsidRDefault="00340100" w:rsidP="00D1064C">
            <w:pPr>
              <w:spacing w:before="0" w:after="0"/>
              <w:jc w:val="both"/>
              <w:rPr>
                <w:rFonts w:cs="Arial"/>
                <w:b/>
                <w:color w:val="FFFFFF"/>
                <w:sz w:val="22"/>
                <w:szCs w:val="22"/>
              </w:rPr>
            </w:pPr>
            <w:r w:rsidRPr="00D22839">
              <w:rPr>
                <w:rFonts w:cs="Arial"/>
                <w:b/>
                <w:color w:val="FFFFFF"/>
                <w:sz w:val="22"/>
                <w:szCs w:val="22"/>
              </w:rPr>
              <w:t>Representing</w:t>
            </w:r>
          </w:p>
        </w:tc>
      </w:tr>
      <w:tr w:rsidR="00340100" w:rsidRPr="00D22839" w14:paraId="3E5F5738" w14:textId="77777777" w:rsidTr="00D22839">
        <w:trPr>
          <w:trHeight w:val="356"/>
        </w:trPr>
        <w:tc>
          <w:tcPr>
            <w:tcW w:w="2912" w:type="dxa"/>
            <w:hideMark/>
          </w:tcPr>
          <w:p w14:paraId="6B39B236" w14:textId="77777777" w:rsidR="00340100" w:rsidRPr="00D22839" w:rsidRDefault="00340100" w:rsidP="00D1064C">
            <w:pPr>
              <w:spacing w:before="0" w:after="0"/>
              <w:rPr>
                <w:rFonts w:cs="Arial"/>
                <w:sz w:val="22"/>
                <w:szCs w:val="22"/>
              </w:rPr>
            </w:pPr>
            <w:r w:rsidRPr="00D22839">
              <w:rPr>
                <w:rFonts w:cs="Arial"/>
                <w:sz w:val="22"/>
                <w:szCs w:val="22"/>
              </w:rPr>
              <w:t>Chair</w:t>
            </w:r>
          </w:p>
        </w:tc>
        <w:tc>
          <w:tcPr>
            <w:tcW w:w="3171" w:type="dxa"/>
          </w:tcPr>
          <w:p w14:paraId="1F76A32D" w14:textId="3C4510A3" w:rsidR="00340100" w:rsidRPr="00D22839" w:rsidRDefault="00E80470" w:rsidP="00D1064C">
            <w:pPr>
              <w:spacing w:before="0" w:after="0"/>
              <w:rPr>
                <w:rFonts w:cs="Arial"/>
                <w:sz w:val="22"/>
                <w:szCs w:val="22"/>
              </w:rPr>
            </w:pPr>
            <w:r w:rsidRPr="00D22839">
              <w:rPr>
                <w:rFonts w:cs="Arial"/>
                <w:sz w:val="22"/>
                <w:szCs w:val="22"/>
              </w:rPr>
              <w:t>Milly Lewis</w:t>
            </w:r>
          </w:p>
        </w:tc>
        <w:tc>
          <w:tcPr>
            <w:tcW w:w="2884" w:type="dxa"/>
          </w:tcPr>
          <w:p w14:paraId="255EBC02" w14:textId="560909FD" w:rsidR="00340100" w:rsidRPr="00D22839" w:rsidRDefault="00B40516" w:rsidP="00D1064C">
            <w:pPr>
              <w:spacing w:before="0" w:after="0"/>
              <w:rPr>
                <w:rFonts w:cs="Arial"/>
                <w:sz w:val="22"/>
                <w:szCs w:val="22"/>
              </w:rPr>
            </w:pPr>
            <w:r w:rsidRPr="00D22839">
              <w:rPr>
                <w:rFonts w:cs="Arial"/>
                <w:sz w:val="22"/>
                <w:szCs w:val="22"/>
              </w:rPr>
              <w:t>ESO Code Administrator</w:t>
            </w:r>
          </w:p>
        </w:tc>
      </w:tr>
      <w:tr w:rsidR="00340100" w:rsidRPr="00D22839" w14:paraId="32A61C65" w14:textId="77777777" w:rsidTr="00D22839">
        <w:trPr>
          <w:trHeight w:val="356"/>
        </w:trPr>
        <w:tc>
          <w:tcPr>
            <w:tcW w:w="2912" w:type="dxa"/>
            <w:hideMark/>
          </w:tcPr>
          <w:p w14:paraId="6AA1C58D" w14:textId="77777777" w:rsidR="00340100" w:rsidRPr="00D22839" w:rsidRDefault="00340100" w:rsidP="00D1064C">
            <w:pPr>
              <w:spacing w:before="0" w:after="0"/>
              <w:rPr>
                <w:rFonts w:cs="Arial"/>
                <w:sz w:val="22"/>
                <w:szCs w:val="22"/>
              </w:rPr>
            </w:pPr>
            <w:r w:rsidRPr="00D22839">
              <w:rPr>
                <w:rFonts w:cs="Arial"/>
                <w:sz w:val="22"/>
                <w:szCs w:val="22"/>
              </w:rPr>
              <w:t>Technical Secretary</w:t>
            </w:r>
          </w:p>
        </w:tc>
        <w:tc>
          <w:tcPr>
            <w:tcW w:w="3171" w:type="dxa"/>
          </w:tcPr>
          <w:p w14:paraId="5B2493A1" w14:textId="465D5CEB" w:rsidR="00340100" w:rsidRPr="00D22839" w:rsidRDefault="00E80470" w:rsidP="00D1064C">
            <w:pPr>
              <w:spacing w:before="0" w:after="0"/>
              <w:rPr>
                <w:rFonts w:cs="Arial"/>
                <w:sz w:val="22"/>
                <w:szCs w:val="22"/>
              </w:rPr>
            </w:pPr>
            <w:r w:rsidRPr="00D22839">
              <w:rPr>
                <w:rFonts w:cs="Arial"/>
                <w:sz w:val="22"/>
                <w:szCs w:val="22"/>
              </w:rPr>
              <w:t>Catia Gomes</w:t>
            </w:r>
          </w:p>
        </w:tc>
        <w:tc>
          <w:tcPr>
            <w:tcW w:w="2884" w:type="dxa"/>
          </w:tcPr>
          <w:p w14:paraId="2540666D" w14:textId="2358D6A6" w:rsidR="00340100" w:rsidRPr="00D22839" w:rsidRDefault="00B40516" w:rsidP="00D1064C">
            <w:pPr>
              <w:spacing w:before="0" w:after="0"/>
              <w:rPr>
                <w:rFonts w:cs="Arial"/>
                <w:sz w:val="22"/>
                <w:szCs w:val="22"/>
              </w:rPr>
            </w:pPr>
            <w:r w:rsidRPr="00D22839">
              <w:rPr>
                <w:rFonts w:cs="Arial"/>
                <w:sz w:val="22"/>
                <w:szCs w:val="22"/>
              </w:rPr>
              <w:t>ESO Code Administrator</w:t>
            </w:r>
          </w:p>
        </w:tc>
      </w:tr>
      <w:tr w:rsidR="00F72F14" w:rsidRPr="00D22839" w14:paraId="57B18568" w14:textId="77777777" w:rsidTr="00D22839">
        <w:trPr>
          <w:trHeight w:val="356"/>
        </w:trPr>
        <w:tc>
          <w:tcPr>
            <w:tcW w:w="2912" w:type="dxa"/>
            <w:hideMark/>
          </w:tcPr>
          <w:p w14:paraId="299C1C65" w14:textId="77777777" w:rsidR="00F72F14" w:rsidRPr="00D22839" w:rsidRDefault="00F72F14" w:rsidP="00D1064C">
            <w:pPr>
              <w:spacing w:before="0" w:after="0"/>
              <w:rPr>
                <w:rFonts w:cs="Arial"/>
                <w:sz w:val="22"/>
                <w:szCs w:val="22"/>
              </w:rPr>
            </w:pPr>
            <w:r w:rsidRPr="00D22839">
              <w:rPr>
                <w:rFonts w:cs="Arial"/>
                <w:sz w:val="22"/>
                <w:szCs w:val="22"/>
              </w:rPr>
              <w:t>Proposer</w:t>
            </w:r>
          </w:p>
        </w:tc>
        <w:tc>
          <w:tcPr>
            <w:tcW w:w="3171" w:type="dxa"/>
          </w:tcPr>
          <w:p w14:paraId="64FA1007" w14:textId="0E69091C" w:rsidR="00F72F14" w:rsidRPr="00D22839" w:rsidRDefault="00F72F14" w:rsidP="00D1064C">
            <w:pPr>
              <w:spacing w:before="0" w:after="0"/>
              <w:rPr>
                <w:rFonts w:cs="Arial"/>
                <w:sz w:val="22"/>
                <w:szCs w:val="22"/>
              </w:rPr>
            </w:pPr>
            <w:r w:rsidRPr="00D22839">
              <w:rPr>
                <w:rFonts w:cs="Arial"/>
                <w:sz w:val="22"/>
                <w:szCs w:val="22"/>
              </w:rPr>
              <w:t>Sade Adenola</w:t>
            </w:r>
          </w:p>
        </w:tc>
        <w:tc>
          <w:tcPr>
            <w:tcW w:w="2884" w:type="dxa"/>
          </w:tcPr>
          <w:p w14:paraId="6845C55E" w14:textId="6E8F2746" w:rsidR="00F72F14" w:rsidRPr="00D22839" w:rsidRDefault="00F72F14" w:rsidP="00D1064C">
            <w:pPr>
              <w:spacing w:before="0" w:after="0"/>
              <w:rPr>
                <w:rFonts w:cs="Arial"/>
                <w:sz w:val="22"/>
                <w:szCs w:val="22"/>
              </w:rPr>
            </w:pPr>
            <w:r w:rsidRPr="00D22839">
              <w:rPr>
                <w:rFonts w:cs="Arial"/>
                <w:sz w:val="22"/>
                <w:szCs w:val="22"/>
              </w:rPr>
              <w:t>National Grid ESO</w:t>
            </w:r>
          </w:p>
        </w:tc>
      </w:tr>
      <w:tr w:rsidR="00F72F14" w:rsidRPr="00D22839" w14:paraId="00560B06" w14:textId="77777777" w:rsidTr="00D22839">
        <w:trPr>
          <w:trHeight w:val="556"/>
        </w:trPr>
        <w:tc>
          <w:tcPr>
            <w:tcW w:w="2912" w:type="dxa"/>
            <w:hideMark/>
          </w:tcPr>
          <w:p w14:paraId="5057D3F3" w14:textId="77777777" w:rsidR="00F72F14" w:rsidRPr="00D22839" w:rsidRDefault="00F72F14" w:rsidP="00D1064C">
            <w:pPr>
              <w:spacing w:before="0" w:after="0"/>
              <w:rPr>
                <w:rFonts w:cs="Arial"/>
                <w:sz w:val="22"/>
                <w:szCs w:val="22"/>
              </w:rPr>
            </w:pPr>
            <w:r w:rsidRPr="00D22839">
              <w:rPr>
                <w:rFonts w:cs="Arial"/>
                <w:sz w:val="22"/>
                <w:szCs w:val="22"/>
              </w:rPr>
              <w:t>Workgroup Member</w:t>
            </w:r>
          </w:p>
        </w:tc>
        <w:tc>
          <w:tcPr>
            <w:tcW w:w="3171" w:type="dxa"/>
          </w:tcPr>
          <w:p w14:paraId="546B0411" w14:textId="63980216" w:rsidR="00F72F14" w:rsidRPr="00D22839" w:rsidRDefault="00F72F14" w:rsidP="00D1064C">
            <w:pPr>
              <w:spacing w:before="0" w:after="0"/>
              <w:rPr>
                <w:rFonts w:cs="Arial"/>
                <w:sz w:val="22"/>
                <w:szCs w:val="22"/>
              </w:rPr>
            </w:pPr>
            <w:r w:rsidRPr="00D22839">
              <w:rPr>
                <w:rFonts w:cs="Arial"/>
                <w:sz w:val="22"/>
                <w:szCs w:val="22"/>
              </w:rPr>
              <w:t>Lewis Morgan</w:t>
            </w:r>
          </w:p>
        </w:tc>
        <w:tc>
          <w:tcPr>
            <w:tcW w:w="2884" w:type="dxa"/>
          </w:tcPr>
          <w:p w14:paraId="2887E482" w14:textId="748579F6" w:rsidR="00F72F14" w:rsidRPr="00D22839" w:rsidRDefault="00F72F14" w:rsidP="00D1064C">
            <w:pPr>
              <w:spacing w:before="0" w:after="0"/>
              <w:rPr>
                <w:rFonts w:cs="Arial"/>
                <w:sz w:val="22"/>
                <w:szCs w:val="22"/>
              </w:rPr>
            </w:pPr>
            <w:r w:rsidRPr="00D22839">
              <w:rPr>
                <w:rFonts w:cs="Arial"/>
                <w:sz w:val="22"/>
                <w:szCs w:val="22"/>
              </w:rPr>
              <w:t>National Grid Electricity Transmission</w:t>
            </w:r>
          </w:p>
        </w:tc>
      </w:tr>
      <w:tr w:rsidR="00EB7607" w:rsidRPr="00D22839" w14:paraId="3328B43F" w14:textId="77777777" w:rsidTr="00D22839">
        <w:trPr>
          <w:trHeight w:val="86"/>
        </w:trPr>
        <w:tc>
          <w:tcPr>
            <w:tcW w:w="2912" w:type="dxa"/>
            <w:hideMark/>
          </w:tcPr>
          <w:p w14:paraId="7A79F323" w14:textId="77777777" w:rsidR="00EB7607" w:rsidRPr="00D22839" w:rsidRDefault="00EB7607" w:rsidP="00D1064C">
            <w:pPr>
              <w:spacing w:before="0" w:after="0"/>
              <w:rPr>
                <w:rFonts w:cs="Arial"/>
                <w:sz w:val="22"/>
                <w:szCs w:val="22"/>
              </w:rPr>
            </w:pPr>
            <w:r w:rsidRPr="00D22839">
              <w:rPr>
                <w:rFonts w:cs="Arial"/>
                <w:sz w:val="22"/>
                <w:szCs w:val="22"/>
              </w:rPr>
              <w:t>Workgroup Member</w:t>
            </w:r>
          </w:p>
        </w:tc>
        <w:tc>
          <w:tcPr>
            <w:tcW w:w="3171" w:type="dxa"/>
          </w:tcPr>
          <w:p w14:paraId="33716DF1" w14:textId="65349885" w:rsidR="00EB7607" w:rsidRPr="00D22839" w:rsidRDefault="00EB7607" w:rsidP="00D1064C">
            <w:pPr>
              <w:spacing w:before="0" w:after="0"/>
              <w:rPr>
                <w:rFonts w:cs="Arial"/>
                <w:sz w:val="22"/>
                <w:szCs w:val="22"/>
              </w:rPr>
            </w:pPr>
            <w:r w:rsidRPr="00D22839">
              <w:rPr>
                <w:rFonts w:cs="Arial"/>
                <w:sz w:val="22"/>
                <w:szCs w:val="22"/>
              </w:rPr>
              <w:t>Mark Holland</w:t>
            </w:r>
          </w:p>
        </w:tc>
        <w:tc>
          <w:tcPr>
            <w:tcW w:w="2884" w:type="dxa"/>
          </w:tcPr>
          <w:p w14:paraId="21938381" w14:textId="2DCC0819" w:rsidR="00EB7607" w:rsidRPr="00D22839" w:rsidRDefault="00EB7607" w:rsidP="00D1064C">
            <w:pPr>
              <w:spacing w:before="0" w:after="0"/>
              <w:rPr>
                <w:rFonts w:cs="Arial"/>
                <w:sz w:val="22"/>
                <w:szCs w:val="22"/>
              </w:rPr>
            </w:pPr>
            <w:r w:rsidRPr="00D22839">
              <w:rPr>
                <w:rFonts w:cs="Arial"/>
                <w:sz w:val="22"/>
                <w:szCs w:val="22"/>
              </w:rPr>
              <w:t>Scottish Hydro Electric Transmission Ltd</w:t>
            </w:r>
          </w:p>
        </w:tc>
      </w:tr>
      <w:tr w:rsidR="00340100" w:rsidRPr="00D22839" w14:paraId="34451DAD" w14:textId="77777777" w:rsidTr="00D22839">
        <w:trPr>
          <w:trHeight w:val="696"/>
        </w:trPr>
        <w:tc>
          <w:tcPr>
            <w:tcW w:w="2912" w:type="dxa"/>
            <w:hideMark/>
          </w:tcPr>
          <w:p w14:paraId="3B979A32" w14:textId="08AD38DE" w:rsidR="00340100" w:rsidRPr="00D22839" w:rsidRDefault="00F72F14" w:rsidP="00D1064C">
            <w:pPr>
              <w:spacing w:before="0" w:after="0"/>
              <w:rPr>
                <w:rFonts w:cs="Arial"/>
                <w:sz w:val="22"/>
                <w:szCs w:val="22"/>
              </w:rPr>
            </w:pPr>
            <w:r w:rsidRPr="00D22839">
              <w:rPr>
                <w:rFonts w:cs="Arial"/>
                <w:sz w:val="22"/>
                <w:szCs w:val="22"/>
              </w:rPr>
              <w:t>Workgroup Member (Alternate)</w:t>
            </w:r>
          </w:p>
        </w:tc>
        <w:tc>
          <w:tcPr>
            <w:tcW w:w="3171" w:type="dxa"/>
          </w:tcPr>
          <w:p w14:paraId="36571D29" w14:textId="77777777" w:rsidR="00EB7607" w:rsidRPr="00D22839" w:rsidRDefault="00EB7607" w:rsidP="00D1064C">
            <w:pPr>
              <w:spacing w:before="0" w:after="0" w:line="240" w:lineRule="auto"/>
              <w:rPr>
                <w:rFonts w:cs="Arial"/>
                <w:sz w:val="22"/>
                <w:szCs w:val="22"/>
              </w:rPr>
            </w:pPr>
            <w:r w:rsidRPr="00D22839">
              <w:rPr>
                <w:rFonts w:cs="Arial"/>
                <w:sz w:val="22"/>
                <w:szCs w:val="22"/>
              </w:rPr>
              <w:t>Michelle MacDonald Sandison</w:t>
            </w:r>
          </w:p>
          <w:p w14:paraId="42034AAD" w14:textId="091D9051" w:rsidR="00340100" w:rsidRPr="00D22839" w:rsidRDefault="00340100" w:rsidP="00D1064C">
            <w:pPr>
              <w:spacing w:before="0" w:after="0"/>
              <w:rPr>
                <w:rFonts w:cs="Arial"/>
                <w:sz w:val="22"/>
                <w:szCs w:val="22"/>
              </w:rPr>
            </w:pPr>
          </w:p>
        </w:tc>
        <w:tc>
          <w:tcPr>
            <w:tcW w:w="2884" w:type="dxa"/>
          </w:tcPr>
          <w:p w14:paraId="1354B8E0" w14:textId="39C675C9" w:rsidR="00340100" w:rsidRPr="00D22839" w:rsidRDefault="00EB7607" w:rsidP="00D1064C">
            <w:pPr>
              <w:spacing w:before="0" w:after="0"/>
              <w:rPr>
                <w:rFonts w:cs="Arial"/>
                <w:sz w:val="22"/>
                <w:szCs w:val="22"/>
              </w:rPr>
            </w:pPr>
            <w:r w:rsidRPr="00D22839">
              <w:rPr>
                <w:rFonts w:cs="Arial"/>
                <w:sz w:val="22"/>
                <w:szCs w:val="22"/>
              </w:rPr>
              <w:t>Scottish Hydro Electric Transmission Ltd</w:t>
            </w:r>
          </w:p>
        </w:tc>
      </w:tr>
      <w:tr w:rsidR="00C138C9" w:rsidRPr="00D22839" w14:paraId="702424B7" w14:textId="77777777" w:rsidTr="00D1064C">
        <w:trPr>
          <w:trHeight w:val="466"/>
        </w:trPr>
        <w:tc>
          <w:tcPr>
            <w:tcW w:w="2912" w:type="dxa"/>
          </w:tcPr>
          <w:p w14:paraId="55035DE0" w14:textId="15B63A69" w:rsidR="00C138C9" w:rsidRPr="00D22839" w:rsidRDefault="00C138C9" w:rsidP="00D1064C">
            <w:pPr>
              <w:spacing w:before="0" w:after="0"/>
              <w:rPr>
                <w:rFonts w:cs="Arial"/>
                <w:sz w:val="22"/>
                <w:szCs w:val="22"/>
              </w:rPr>
            </w:pPr>
            <w:r w:rsidRPr="00D22839">
              <w:rPr>
                <w:rFonts w:cs="Arial"/>
                <w:sz w:val="22"/>
                <w:szCs w:val="22"/>
              </w:rPr>
              <w:t>Workgroup Member</w:t>
            </w:r>
          </w:p>
        </w:tc>
        <w:tc>
          <w:tcPr>
            <w:tcW w:w="3171" w:type="dxa"/>
          </w:tcPr>
          <w:p w14:paraId="7D35388E" w14:textId="703DC0C5" w:rsidR="00C138C9" w:rsidRPr="00D22839" w:rsidRDefault="00C138C9" w:rsidP="00D1064C">
            <w:pPr>
              <w:spacing w:before="0" w:after="0"/>
              <w:rPr>
                <w:rFonts w:cs="Arial"/>
                <w:sz w:val="22"/>
                <w:szCs w:val="22"/>
              </w:rPr>
            </w:pPr>
            <w:r w:rsidRPr="00D22839">
              <w:rPr>
                <w:rFonts w:cs="Arial"/>
                <w:sz w:val="22"/>
                <w:szCs w:val="22"/>
              </w:rPr>
              <w:t>Joel Matthews</w:t>
            </w:r>
          </w:p>
        </w:tc>
        <w:tc>
          <w:tcPr>
            <w:tcW w:w="2884" w:type="dxa"/>
          </w:tcPr>
          <w:p w14:paraId="7DC7AC26" w14:textId="0C192D92" w:rsidR="00C138C9" w:rsidRPr="00D22839" w:rsidRDefault="00C138C9" w:rsidP="00D1064C">
            <w:pPr>
              <w:spacing w:before="0" w:after="0"/>
              <w:rPr>
                <w:rFonts w:cs="Arial"/>
                <w:sz w:val="22"/>
                <w:szCs w:val="22"/>
              </w:rPr>
            </w:pPr>
            <w:r w:rsidRPr="00D22839">
              <w:rPr>
                <w:rFonts w:cs="Arial"/>
                <w:sz w:val="22"/>
                <w:szCs w:val="22"/>
              </w:rPr>
              <w:t>Diamond Transmission Corp</w:t>
            </w:r>
          </w:p>
        </w:tc>
      </w:tr>
      <w:tr w:rsidR="00A25D34" w:rsidRPr="00D22839" w14:paraId="5C85D3CF" w14:textId="77777777" w:rsidTr="00D22839">
        <w:trPr>
          <w:trHeight w:val="348"/>
        </w:trPr>
        <w:tc>
          <w:tcPr>
            <w:tcW w:w="2912" w:type="dxa"/>
            <w:hideMark/>
          </w:tcPr>
          <w:p w14:paraId="5A904771" w14:textId="49F0686A" w:rsidR="00A25D34" w:rsidRPr="00D22839" w:rsidRDefault="00A25D34" w:rsidP="00D1064C">
            <w:pPr>
              <w:spacing w:before="0" w:after="0"/>
              <w:rPr>
                <w:rFonts w:cs="Arial"/>
                <w:sz w:val="22"/>
                <w:szCs w:val="22"/>
              </w:rPr>
            </w:pPr>
            <w:r w:rsidRPr="00D22839">
              <w:rPr>
                <w:rFonts w:cs="Arial"/>
                <w:sz w:val="22"/>
                <w:szCs w:val="22"/>
              </w:rPr>
              <w:t>Workgroup Member</w:t>
            </w:r>
          </w:p>
        </w:tc>
        <w:tc>
          <w:tcPr>
            <w:tcW w:w="3171" w:type="dxa"/>
          </w:tcPr>
          <w:p w14:paraId="6C11B2D5" w14:textId="1FC6E79D" w:rsidR="00A25D34" w:rsidRPr="00D22839" w:rsidRDefault="00A25D34" w:rsidP="00D1064C">
            <w:pPr>
              <w:spacing w:before="0" w:after="0"/>
              <w:rPr>
                <w:rFonts w:cs="Arial"/>
                <w:sz w:val="22"/>
                <w:szCs w:val="22"/>
              </w:rPr>
            </w:pPr>
            <w:r w:rsidRPr="00D22839">
              <w:rPr>
                <w:rFonts w:cs="Arial"/>
                <w:sz w:val="22"/>
                <w:szCs w:val="22"/>
              </w:rPr>
              <w:t>Graeme Vincent</w:t>
            </w:r>
          </w:p>
        </w:tc>
        <w:tc>
          <w:tcPr>
            <w:tcW w:w="2884" w:type="dxa"/>
          </w:tcPr>
          <w:p w14:paraId="7E068E16" w14:textId="2CB03420" w:rsidR="00A25D34" w:rsidRPr="00D22839" w:rsidRDefault="00A25D34" w:rsidP="00D1064C">
            <w:pPr>
              <w:spacing w:before="0" w:after="0"/>
              <w:rPr>
                <w:rFonts w:cs="Arial"/>
                <w:sz w:val="22"/>
                <w:szCs w:val="22"/>
              </w:rPr>
            </w:pPr>
            <w:r w:rsidRPr="00D22839">
              <w:rPr>
                <w:rFonts w:cs="Arial"/>
                <w:sz w:val="22"/>
                <w:szCs w:val="22"/>
              </w:rPr>
              <w:t>SP Energy Networks</w:t>
            </w:r>
          </w:p>
        </w:tc>
      </w:tr>
      <w:tr w:rsidR="00C138C9" w:rsidRPr="00D22839" w14:paraId="40226970" w14:textId="77777777" w:rsidTr="00D22839">
        <w:trPr>
          <w:trHeight w:val="556"/>
        </w:trPr>
        <w:tc>
          <w:tcPr>
            <w:tcW w:w="2912" w:type="dxa"/>
          </w:tcPr>
          <w:p w14:paraId="4AA03A09" w14:textId="78661F2B" w:rsidR="00C138C9" w:rsidRPr="00D22839" w:rsidRDefault="00C138C9" w:rsidP="00D1064C">
            <w:pPr>
              <w:spacing w:before="0" w:after="0"/>
              <w:rPr>
                <w:rFonts w:cs="Arial"/>
                <w:sz w:val="22"/>
                <w:szCs w:val="22"/>
              </w:rPr>
            </w:pPr>
            <w:r w:rsidRPr="00D22839">
              <w:rPr>
                <w:rFonts w:cs="Arial"/>
                <w:sz w:val="22"/>
                <w:szCs w:val="22"/>
              </w:rPr>
              <w:t>Workgroup Member (Alternate)</w:t>
            </w:r>
          </w:p>
        </w:tc>
        <w:tc>
          <w:tcPr>
            <w:tcW w:w="3171" w:type="dxa"/>
          </w:tcPr>
          <w:p w14:paraId="376EACB7" w14:textId="77777777" w:rsidR="00A25D34" w:rsidRPr="00D22839" w:rsidRDefault="00A25D34" w:rsidP="00D1064C">
            <w:pPr>
              <w:spacing w:before="0" w:after="0" w:line="240" w:lineRule="auto"/>
              <w:rPr>
                <w:rFonts w:cs="Arial"/>
                <w:sz w:val="22"/>
                <w:szCs w:val="22"/>
              </w:rPr>
            </w:pPr>
            <w:r w:rsidRPr="00D22839">
              <w:rPr>
                <w:rFonts w:cs="Arial"/>
                <w:sz w:val="22"/>
                <w:szCs w:val="22"/>
              </w:rPr>
              <w:t>Martin Cammidge</w:t>
            </w:r>
          </w:p>
          <w:p w14:paraId="7FDF366B" w14:textId="77777777" w:rsidR="00C138C9" w:rsidRPr="00D22839" w:rsidRDefault="00C138C9" w:rsidP="00D1064C">
            <w:pPr>
              <w:spacing w:before="0" w:after="0"/>
              <w:rPr>
                <w:rFonts w:cs="Arial"/>
                <w:sz w:val="22"/>
                <w:szCs w:val="22"/>
              </w:rPr>
            </w:pPr>
          </w:p>
        </w:tc>
        <w:tc>
          <w:tcPr>
            <w:tcW w:w="2884" w:type="dxa"/>
          </w:tcPr>
          <w:p w14:paraId="3137AE31" w14:textId="4CA39DDD" w:rsidR="00C138C9" w:rsidRPr="00D22839" w:rsidRDefault="00A25D34" w:rsidP="00D1064C">
            <w:pPr>
              <w:spacing w:before="0" w:after="0"/>
              <w:rPr>
                <w:rFonts w:cs="Arial"/>
                <w:sz w:val="22"/>
                <w:szCs w:val="22"/>
              </w:rPr>
            </w:pPr>
            <w:r w:rsidRPr="00D22839">
              <w:rPr>
                <w:rFonts w:cs="Arial"/>
                <w:sz w:val="22"/>
                <w:szCs w:val="22"/>
              </w:rPr>
              <w:t>SP Energy Networks</w:t>
            </w:r>
          </w:p>
        </w:tc>
      </w:tr>
      <w:tr w:rsidR="00D22839" w:rsidRPr="00D22839" w14:paraId="218EE0E0" w14:textId="77777777" w:rsidTr="00D22839">
        <w:trPr>
          <w:trHeight w:val="356"/>
        </w:trPr>
        <w:tc>
          <w:tcPr>
            <w:tcW w:w="2912" w:type="dxa"/>
            <w:hideMark/>
          </w:tcPr>
          <w:p w14:paraId="151B82BF" w14:textId="77777777" w:rsidR="00D22839" w:rsidRPr="00D22839" w:rsidRDefault="00D22839" w:rsidP="00D1064C">
            <w:pPr>
              <w:spacing w:before="0" w:after="0"/>
              <w:rPr>
                <w:rFonts w:cs="Arial"/>
                <w:sz w:val="22"/>
                <w:szCs w:val="22"/>
              </w:rPr>
            </w:pPr>
            <w:r w:rsidRPr="00D22839">
              <w:rPr>
                <w:rFonts w:cs="Arial"/>
                <w:sz w:val="22"/>
                <w:szCs w:val="22"/>
              </w:rPr>
              <w:t xml:space="preserve">Authority Representative </w:t>
            </w:r>
          </w:p>
        </w:tc>
        <w:tc>
          <w:tcPr>
            <w:tcW w:w="3171" w:type="dxa"/>
          </w:tcPr>
          <w:p w14:paraId="5B7384FE" w14:textId="3549E4B7" w:rsidR="00D22839" w:rsidRPr="00D22839" w:rsidRDefault="00D22839" w:rsidP="00D1064C">
            <w:pPr>
              <w:spacing w:before="0" w:after="0"/>
              <w:rPr>
                <w:rFonts w:cs="Arial"/>
                <w:sz w:val="22"/>
                <w:szCs w:val="22"/>
              </w:rPr>
            </w:pPr>
            <w:r w:rsidRPr="00D22839">
              <w:rPr>
                <w:rFonts w:cs="Arial"/>
                <w:sz w:val="22"/>
                <w:szCs w:val="22"/>
              </w:rPr>
              <w:t xml:space="preserve">Christopher Statham </w:t>
            </w:r>
          </w:p>
        </w:tc>
        <w:tc>
          <w:tcPr>
            <w:tcW w:w="2884" w:type="dxa"/>
          </w:tcPr>
          <w:p w14:paraId="79C1F988" w14:textId="6ED81F90" w:rsidR="00D22839" w:rsidRPr="00D22839" w:rsidRDefault="00D22839" w:rsidP="00D1064C">
            <w:pPr>
              <w:spacing w:before="0" w:after="0"/>
              <w:rPr>
                <w:rFonts w:cs="Arial"/>
                <w:sz w:val="22"/>
                <w:szCs w:val="22"/>
              </w:rPr>
            </w:pPr>
            <w:r w:rsidRPr="00D22839">
              <w:rPr>
                <w:rFonts w:cs="Arial"/>
                <w:sz w:val="22"/>
                <w:szCs w:val="22"/>
              </w:rPr>
              <w:t>Ofgem</w:t>
            </w: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65B92A85" w:rsidR="00340100" w:rsidRPr="00194B25" w:rsidRDefault="00340100" w:rsidP="003E3F33">
      <w:pPr>
        <w:numPr>
          <w:ilvl w:val="0"/>
          <w:numId w:val="5"/>
        </w:numPr>
        <w:spacing w:before="0" w:after="0" w:line="240" w:lineRule="auto"/>
        <w:jc w:val="both"/>
        <w:rPr>
          <w:color w:val="0000FF"/>
          <w:sz w:val="24"/>
        </w:rPr>
      </w:pPr>
      <w:r w:rsidRPr="00194B25">
        <w:rPr>
          <w:sz w:val="24"/>
        </w:rPr>
        <w:lastRenderedPageBreak/>
        <w:t>The chair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31308" w14:textId="77777777" w:rsidR="004144D3" w:rsidRDefault="004144D3" w:rsidP="00D06DC4">
      <w:pPr>
        <w:spacing w:before="0" w:after="0" w:line="240" w:lineRule="auto"/>
      </w:pPr>
      <w:r>
        <w:separator/>
      </w:r>
    </w:p>
  </w:endnote>
  <w:endnote w:type="continuationSeparator" w:id="0">
    <w:p w14:paraId="116BF44E" w14:textId="77777777" w:rsidR="004144D3" w:rsidRDefault="004144D3" w:rsidP="00D06DC4">
      <w:pPr>
        <w:spacing w:before="0" w:after="0" w:line="240" w:lineRule="auto"/>
      </w:pPr>
      <w:r>
        <w:continuationSeparator/>
      </w:r>
    </w:p>
  </w:endnote>
  <w:endnote w:type="continuationNotice" w:id="1">
    <w:p w14:paraId="7EF3E47B" w14:textId="77777777" w:rsidR="004144D3" w:rsidRDefault="004144D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B193F" w14:textId="77777777" w:rsidR="004144D3" w:rsidRDefault="004144D3" w:rsidP="00D06DC4">
      <w:pPr>
        <w:spacing w:before="0" w:after="0" w:line="240" w:lineRule="auto"/>
      </w:pPr>
      <w:r>
        <w:separator/>
      </w:r>
    </w:p>
  </w:footnote>
  <w:footnote w:type="continuationSeparator" w:id="0">
    <w:p w14:paraId="345C45C6" w14:textId="77777777" w:rsidR="004144D3" w:rsidRDefault="004144D3" w:rsidP="00D06DC4">
      <w:pPr>
        <w:spacing w:before="0" w:after="0" w:line="240" w:lineRule="auto"/>
      </w:pPr>
      <w:r>
        <w:continuationSeparator/>
      </w:r>
    </w:p>
  </w:footnote>
  <w:footnote w:type="continuationNotice" w:id="1">
    <w:p w14:paraId="007E6C94" w14:textId="77777777" w:rsidR="004144D3" w:rsidRDefault="004144D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6D0B" w14:textId="77777777" w:rsidR="00FD06C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69504"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r w:rsidR="00D92682">
      <w:t>0</w:t>
    </w:r>
    <w:r w:rsidR="00FD06CF">
      <w:t>89</w:t>
    </w:r>
    <w:bookmarkEnd w:id="2"/>
    <w:bookmarkEnd w:id="3"/>
  </w:p>
  <w:p w14:paraId="3A18547B" w14:textId="2F28EDBC" w:rsidR="00B8588F" w:rsidRDefault="00811249" w:rsidP="000C711B">
    <w:pPr>
      <w:pStyle w:val="Header"/>
      <w:ind w:left="720" w:firstLine="720"/>
      <w:jc w:val="right"/>
    </w:pPr>
    <w:r>
      <w:t>22 February 2023</w:t>
    </w:r>
    <w:r w:rsidR="001C6B1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39D4302"/>
    <w:multiLevelType w:val="multilevel"/>
    <w:tmpl w:val="D41250C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38001420">
    <w:abstractNumId w:val="5"/>
  </w:num>
  <w:num w:numId="2" w16cid:durableId="179706836">
    <w:abstractNumId w:val="4"/>
  </w:num>
  <w:num w:numId="3" w16cid:durableId="1252549189">
    <w:abstractNumId w:val="3"/>
  </w:num>
  <w:num w:numId="4" w16cid:durableId="112406597">
    <w:abstractNumId w:val="0"/>
  </w:num>
  <w:num w:numId="5" w16cid:durableId="775830127">
    <w:abstractNumId w:val="1"/>
  </w:num>
  <w:num w:numId="6" w16cid:durableId="142496020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1D2B"/>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25165"/>
    <w:rsid w:val="00232757"/>
    <w:rsid w:val="00233594"/>
    <w:rsid w:val="002342A0"/>
    <w:rsid w:val="0023461A"/>
    <w:rsid w:val="0023575D"/>
    <w:rsid w:val="002362B6"/>
    <w:rsid w:val="00240571"/>
    <w:rsid w:val="00242D19"/>
    <w:rsid w:val="00244A90"/>
    <w:rsid w:val="00244CCD"/>
    <w:rsid w:val="00250A22"/>
    <w:rsid w:val="00254599"/>
    <w:rsid w:val="00254CB4"/>
    <w:rsid w:val="00255D4D"/>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51AD"/>
    <w:rsid w:val="002A69BC"/>
    <w:rsid w:val="002B3381"/>
    <w:rsid w:val="002B4673"/>
    <w:rsid w:val="002B5ADD"/>
    <w:rsid w:val="002B6174"/>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7E7C"/>
    <w:rsid w:val="00367F32"/>
    <w:rsid w:val="00371C21"/>
    <w:rsid w:val="00373957"/>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4C6D"/>
    <w:rsid w:val="003C5A93"/>
    <w:rsid w:val="003C64B1"/>
    <w:rsid w:val="003C6695"/>
    <w:rsid w:val="003D510E"/>
    <w:rsid w:val="003E0DC9"/>
    <w:rsid w:val="003E1C63"/>
    <w:rsid w:val="003E2E08"/>
    <w:rsid w:val="003E344B"/>
    <w:rsid w:val="003E3F33"/>
    <w:rsid w:val="003E7160"/>
    <w:rsid w:val="003E7C0A"/>
    <w:rsid w:val="003F129C"/>
    <w:rsid w:val="003F2AEE"/>
    <w:rsid w:val="003F6FB7"/>
    <w:rsid w:val="00400916"/>
    <w:rsid w:val="004009B8"/>
    <w:rsid w:val="004057AA"/>
    <w:rsid w:val="00405F32"/>
    <w:rsid w:val="00405F4B"/>
    <w:rsid w:val="00411EF7"/>
    <w:rsid w:val="004144D3"/>
    <w:rsid w:val="00414917"/>
    <w:rsid w:val="00416ACC"/>
    <w:rsid w:val="0042272E"/>
    <w:rsid w:val="00423F67"/>
    <w:rsid w:val="0042450B"/>
    <w:rsid w:val="00424B27"/>
    <w:rsid w:val="0042709F"/>
    <w:rsid w:val="004307DC"/>
    <w:rsid w:val="00431412"/>
    <w:rsid w:val="00431DF5"/>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72AE"/>
    <w:rsid w:val="004C08EB"/>
    <w:rsid w:val="004C24CD"/>
    <w:rsid w:val="004C30D2"/>
    <w:rsid w:val="004C3B99"/>
    <w:rsid w:val="004C445F"/>
    <w:rsid w:val="004D1867"/>
    <w:rsid w:val="004D1EA3"/>
    <w:rsid w:val="004D3FD7"/>
    <w:rsid w:val="004D4D9C"/>
    <w:rsid w:val="004E1F61"/>
    <w:rsid w:val="004E211D"/>
    <w:rsid w:val="004E2A51"/>
    <w:rsid w:val="004E2ECD"/>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A7116"/>
    <w:rsid w:val="005B0297"/>
    <w:rsid w:val="005B15C4"/>
    <w:rsid w:val="005B5D5C"/>
    <w:rsid w:val="005C06B0"/>
    <w:rsid w:val="005C3D47"/>
    <w:rsid w:val="005D157B"/>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63B2B"/>
    <w:rsid w:val="0067047C"/>
    <w:rsid w:val="00671E4D"/>
    <w:rsid w:val="00677E55"/>
    <w:rsid w:val="006822C4"/>
    <w:rsid w:val="00685E30"/>
    <w:rsid w:val="00685EB8"/>
    <w:rsid w:val="0068647B"/>
    <w:rsid w:val="00691688"/>
    <w:rsid w:val="00694C91"/>
    <w:rsid w:val="00695014"/>
    <w:rsid w:val="00695934"/>
    <w:rsid w:val="00696E5F"/>
    <w:rsid w:val="006A04AE"/>
    <w:rsid w:val="006A086C"/>
    <w:rsid w:val="006A55C8"/>
    <w:rsid w:val="006A726B"/>
    <w:rsid w:val="006A7F32"/>
    <w:rsid w:val="006B0BA5"/>
    <w:rsid w:val="006B332F"/>
    <w:rsid w:val="006B7455"/>
    <w:rsid w:val="006C061F"/>
    <w:rsid w:val="006C107E"/>
    <w:rsid w:val="006C1D32"/>
    <w:rsid w:val="006C3E98"/>
    <w:rsid w:val="006C66F4"/>
    <w:rsid w:val="006C6DC5"/>
    <w:rsid w:val="006C72B8"/>
    <w:rsid w:val="006D0EBA"/>
    <w:rsid w:val="006D7A67"/>
    <w:rsid w:val="006E0DC0"/>
    <w:rsid w:val="006E11DD"/>
    <w:rsid w:val="006E1C12"/>
    <w:rsid w:val="006E2018"/>
    <w:rsid w:val="006E27B8"/>
    <w:rsid w:val="006E33EA"/>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046"/>
    <w:rsid w:val="007C197D"/>
    <w:rsid w:val="007C208F"/>
    <w:rsid w:val="007C34A2"/>
    <w:rsid w:val="007D241F"/>
    <w:rsid w:val="007D4E1B"/>
    <w:rsid w:val="007D4EE8"/>
    <w:rsid w:val="007D5451"/>
    <w:rsid w:val="007E0122"/>
    <w:rsid w:val="007E4370"/>
    <w:rsid w:val="007E470D"/>
    <w:rsid w:val="007E6040"/>
    <w:rsid w:val="007F0B17"/>
    <w:rsid w:val="007F1F4B"/>
    <w:rsid w:val="007F320C"/>
    <w:rsid w:val="007F7AFF"/>
    <w:rsid w:val="008006B5"/>
    <w:rsid w:val="00800BB4"/>
    <w:rsid w:val="00811249"/>
    <w:rsid w:val="008161BE"/>
    <w:rsid w:val="00817E75"/>
    <w:rsid w:val="00823AA8"/>
    <w:rsid w:val="0082678D"/>
    <w:rsid w:val="00827EC1"/>
    <w:rsid w:val="00830744"/>
    <w:rsid w:val="008348E1"/>
    <w:rsid w:val="008370AF"/>
    <w:rsid w:val="008405D1"/>
    <w:rsid w:val="0084069F"/>
    <w:rsid w:val="0084091C"/>
    <w:rsid w:val="00841C8A"/>
    <w:rsid w:val="00842397"/>
    <w:rsid w:val="00843D6B"/>
    <w:rsid w:val="00845B7F"/>
    <w:rsid w:val="00846BCC"/>
    <w:rsid w:val="0085014A"/>
    <w:rsid w:val="00851B70"/>
    <w:rsid w:val="00852E94"/>
    <w:rsid w:val="0085325E"/>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46700"/>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515E"/>
    <w:rsid w:val="00A06CF9"/>
    <w:rsid w:val="00A072E7"/>
    <w:rsid w:val="00A07EED"/>
    <w:rsid w:val="00A1036A"/>
    <w:rsid w:val="00A109F4"/>
    <w:rsid w:val="00A11D4D"/>
    <w:rsid w:val="00A122C8"/>
    <w:rsid w:val="00A142D0"/>
    <w:rsid w:val="00A15441"/>
    <w:rsid w:val="00A16B4D"/>
    <w:rsid w:val="00A2057F"/>
    <w:rsid w:val="00A25D34"/>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0516"/>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0B46"/>
    <w:rsid w:val="00B713F8"/>
    <w:rsid w:val="00B72194"/>
    <w:rsid w:val="00B74654"/>
    <w:rsid w:val="00B82816"/>
    <w:rsid w:val="00B83C5B"/>
    <w:rsid w:val="00B8588F"/>
    <w:rsid w:val="00B86C58"/>
    <w:rsid w:val="00B90EF7"/>
    <w:rsid w:val="00B91C9E"/>
    <w:rsid w:val="00B934D4"/>
    <w:rsid w:val="00B95500"/>
    <w:rsid w:val="00B96805"/>
    <w:rsid w:val="00BA63AC"/>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38C9"/>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4FFF"/>
    <w:rsid w:val="00C55B7A"/>
    <w:rsid w:val="00C5640D"/>
    <w:rsid w:val="00C564A1"/>
    <w:rsid w:val="00C57ECA"/>
    <w:rsid w:val="00C60770"/>
    <w:rsid w:val="00C61D2F"/>
    <w:rsid w:val="00C636C7"/>
    <w:rsid w:val="00C648C0"/>
    <w:rsid w:val="00C66C68"/>
    <w:rsid w:val="00C66D7F"/>
    <w:rsid w:val="00C67871"/>
    <w:rsid w:val="00C734C2"/>
    <w:rsid w:val="00C736D5"/>
    <w:rsid w:val="00C73CBB"/>
    <w:rsid w:val="00C759D1"/>
    <w:rsid w:val="00C75DAF"/>
    <w:rsid w:val="00C77D3F"/>
    <w:rsid w:val="00C80567"/>
    <w:rsid w:val="00C84422"/>
    <w:rsid w:val="00C90D8F"/>
    <w:rsid w:val="00C92950"/>
    <w:rsid w:val="00C96F70"/>
    <w:rsid w:val="00CA4BBD"/>
    <w:rsid w:val="00CA51B0"/>
    <w:rsid w:val="00CA77DA"/>
    <w:rsid w:val="00CB355F"/>
    <w:rsid w:val="00CB35C5"/>
    <w:rsid w:val="00CB363E"/>
    <w:rsid w:val="00CB3A02"/>
    <w:rsid w:val="00CC177A"/>
    <w:rsid w:val="00CC1A0B"/>
    <w:rsid w:val="00CC23AB"/>
    <w:rsid w:val="00CC5737"/>
    <w:rsid w:val="00CC5BF4"/>
    <w:rsid w:val="00CC6131"/>
    <w:rsid w:val="00CC6DF3"/>
    <w:rsid w:val="00CD017A"/>
    <w:rsid w:val="00CD1204"/>
    <w:rsid w:val="00CD297F"/>
    <w:rsid w:val="00CD2D59"/>
    <w:rsid w:val="00CD39BC"/>
    <w:rsid w:val="00CD3EBE"/>
    <w:rsid w:val="00CD79BF"/>
    <w:rsid w:val="00CE58B0"/>
    <w:rsid w:val="00CE5FF5"/>
    <w:rsid w:val="00CE6F64"/>
    <w:rsid w:val="00CE7473"/>
    <w:rsid w:val="00CF049A"/>
    <w:rsid w:val="00CF0B3B"/>
    <w:rsid w:val="00CF249D"/>
    <w:rsid w:val="00CF6005"/>
    <w:rsid w:val="00D00751"/>
    <w:rsid w:val="00D00DEA"/>
    <w:rsid w:val="00D037F9"/>
    <w:rsid w:val="00D039FA"/>
    <w:rsid w:val="00D05B6A"/>
    <w:rsid w:val="00D060CB"/>
    <w:rsid w:val="00D06DC4"/>
    <w:rsid w:val="00D1064C"/>
    <w:rsid w:val="00D119F7"/>
    <w:rsid w:val="00D12CBF"/>
    <w:rsid w:val="00D1500A"/>
    <w:rsid w:val="00D1564F"/>
    <w:rsid w:val="00D1747B"/>
    <w:rsid w:val="00D20123"/>
    <w:rsid w:val="00D203DF"/>
    <w:rsid w:val="00D2048D"/>
    <w:rsid w:val="00D21429"/>
    <w:rsid w:val="00D21679"/>
    <w:rsid w:val="00D2283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6F8F"/>
    <w:rsid w:val="00DA7A32"/>
    <w:rsid w:val="00DB21A5"/>
    <w:rsid w:val="00DB447A"/>
    <w:rsid w:val="00DC15DF"/>
    <w:rsid w:val="00DC20D5"/>
    <w:rsid w:val="00DC2BBD"/>
    <w:rsid w:val="00DC6638"/>
    <w:rsid w:val="00DD1C0B"/>
    <w:rsid w:val="00DD27E1"/>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3A76"/>
    <w:rsid w:val="00E25874"/>
    <w:rsid w:val="00E2799A"/>
    <w:rsid w:val="00E3000F"/>
    <w:rsid w:val="00E31A50"/>
    <w:rsid w:val="00E3329D"/>
    <w:rsid w:val="00E364C6"/>
    <w:rsid w:val="00E41CB2"/>
    <w:rsid w:val="00E431A1"/>
    <w:rsid w:val="00E434B4"/>
    <w:rsid w:val="00E44F00"/>
    <w:rsid w:val="00E4750A"/>
    <w:rsid w:val="00E53781"/>
    <w:rsid w:val="00E5421D"/>
    <w:rsid w:val="00E55381"/>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0470"/>
    <w:rsid w:val="00E815A6"/>
    <w:rsid w:val="00E825A1"/>
    <w:rsid w:val="00E83167"/>
    <w:rsid w:val="00E857BB"/>
    <w:rsid w:val="00E868CA"/>
    <w:rsid w:val="00E9206B"/>
    <w:rsid w:val="00E93667"/>
    <w:rsid w:val="00E944B2"/>
    <w:rsid w:val="00E96804"/>
    <w:rsid w:val="00EA29A0"/>
    <w:rsid w:val="00EA2C87"/>
    <w:rsid w:val="00EA364B"/>
    <w:rsid w:val="00EA4807"/>
    <w:rsid w:val="00EA6DEA"/>
    <w:rsid w:val="00EB6131"/>
    <w:rsid w:val="00EB7607"/>
    <w:rsid w:val="00EC1553"/>
    <w:rsid w:val="00EC6465"/>
    <w:rsid w:val="00EC6DD1"/>
    <w:rsid w:val="00ED0188"/>
    <w:rsid w:val="00ED0395"/>
    <w:rsid w:val="00ED1C9E"/>
    <w:rsid w:val="00ED5918"/>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75F6"/>
    <w:rsid w:val="00F16774"/>
    <w:rsid w:val="00F176D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2F14"/>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B0E51"/>
    <w:rsid w:val="00FB1180"/>
    <w:rsid w:val="00FB22E3"/>
    <w:rsid w:val="00FB2E05"/>
    <w:rsid w:val="00FB6F98"/>
    <w:rsid w:val="00FB790E"/>
    <w:rsid w:val="00FC0ADE"/>
    <w:rsid w:val="00FC56D3"/>
    <w:rsid w:val="00FC7E9B"/>
    <w:rsid w:val="00FD0516"/>
    <w:rsid w:val="00FD06CF"/>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69044955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09915258">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D8AFA3A6A54832A7374C583FB5937F"/>
        <w:category>
          <w:name w:val="General"/>
          <w:gallery w:val="placeholder"/>
        </w:category>
        <w:types>
          <w:type w:val="bbPlcHdr"/>
        </w:types>
        <w:behaviors>
          <w:behavior w:val="content"/>
        </w:behaviors>
        <w:guid w:val="{C34FDC15-B245-4798-A53D-36D4280A2052}"/>
      </w:docPartPr>
      <w:docPartBody>
        <w:p w:rsidR="003A4F43" w:rsidRDefault="009A72EF" w:rsidP="009A72EF">
          <w:pPr>
            <w:pStyle w:val="61D8AFA3A6A54832A7374C583FB5937F"/>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EF"/>
    <w:rsid w:val="003A4F43"/>
    <w:rsid w:val="00907806"/>
    <w:rsid w:val="009A72EF"/>
    <w:rsid w:val="00A07B1D"/>
    <w:rsid w:val="00CD5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72EF"/>
    <w:rPr>
      <w:color w:val="808080"/>
    </w:rPr>
  </w:style>
  <w:style w:type="paragraph" w:customStyle="1" w:styleId="61D8AFA3A6A54832A7374C583FB5937F">
    <w:name w:val="61D8AFA3A6A54832A7374C583FB5937F"/>
    <w:rsid w:val="009A7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Nti(ESO), Kwaku</DisplayName>
        <AccountId>822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56D85B-5292-4A73-B3AC-733E4B1FF33F}">
  <ds:schemaRefs>
    <ds:schemaRef ds:uri="http://purl.org/dc/elements/1.1/"/>
    <ds:schemaRef ds:uri="http://schemas.microsoft.com/office/2006/metadata/properties"/>
    <ds:schemaRef ds:uri="3f6024f2-ec53-42bf-9fc5-b1e570b27390"/>
    <ds:schemaRef ds:uri="http://purl.org/dc/terms/"/>
    <ds:schemaRef ds:uri="97b6fe81-1556-4112-94ca-31043ca39b71"/>
    <ds:schemaRef ds:uri="cadce026-d35b-4a62-a2ee-1436bb44fb55"/>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8FD7DD1-AA1B-4A1F-98EB-8098D6314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0</TotalTime>
  <Pages>4</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Milly Lewis</cp:lastModifiedBy>
  <cp:revision>2</cp:revision>
  <cp:lastPrinted>2023-04-26T16:46:00Z</cp:lastPrinted>
  <dcterms:created xsi:type="dcterms:W3CDTF">2023-06-08T17:38:00Z</dcterms:created>
  <dcterms:modified xsi:type="dcterms:W3CDTF">2023-06-08T17:38:00Z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